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FE" w:rsidRPr="00A43D64" w:rsidRDefault="005A24FE" w:rsidP="005A24FE">
      <w:pPr>
        <w:ind w:right="68"/>
        <w:jc w:val="center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333333"/>
          <w:sz w:val="24"/>
          <w:szCs w:val="24"/>
          <w:cs/>
          <w:lang w:bidi="bn-IN"/>
        </w:rPr>
        <w:t>গণপ্রজাতন্ত্রী বাংলাদেশ সরকার</w:t>
      </w:r>
    </w:p>
    <w:p w:rsidR="005A24FE" w:rsidRPr="00A43D64" w:rsidRDefault="005A24FE" w:rsidP="005A24FE">
      <w:pPr>
        <w:ind w:right="68"/>
        <w:jc w:val="center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333333"/>
          <w:sz w:val="24"/>
          <w:szCs w:val="24"/>
          <w:cs/>
          <w:lang w:bidi="bn-IN"/>
        </w:rPr>
        <w:t>বিভাগীয় বন কর্মকর্তার কার্যালয়</w:t>
      </w:r>
    </w:p>
    <w:p w:rsidR="005A24FE" w:rsidRPr="00A43D64" w:rsidRDefault="005A24FE" w:rsidP="005A24FE">
      <w:pPr>
        <w:ind w:right="68"/>
        <w:jc w:val="center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333333"/>
          <w:sz w:val="24"/>
          <w:szCs w:val="24"/>
          <w:cs/>
          <w:lang w:bidi="bn-IN"/>
        </w:rPr>
        <w:t>সিলেট বন বিভাগ</w:t>
      </w:r>
    </w:p>
    <w:p w:rsidR="005A24FE" w:rsidRPr="00A43D64" w:rsidRDefault="005A24FE" w:rsidP="005A24FE">
      <w:pPr>
        <w:ind w:right="68"/>
        <w:jc w:val="center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333333"/>
          <w:sz w:val="24"/>
          <w:szCs w:val="24"/>
          <w:cs/>
          <w:lang w:bidi="bn-IN"/>
        </w:rPr>
        <w:t>সিলেট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  <w:u w:val="single"/>
          <w:bdr w:val="none" w:sz="0" w:space="0" w:color="auto" w:frame="1"/>
        </w:rPr>
      </w:pP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১</w:t>
      </w:r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 xml:space="preserve">.    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ভিশন মিশন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 xml:space="preserve">ভিশনঃ </w:t>
      </w: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>২০২১ সালের মধ্যে টেকসই বন ব্যবস্থাপনা নিশ্চিত করণ।</w:t>
      </w:r>
    </w:p>
    <w:p w:rsidR="005A24FE" w:rsidRPr="00A43D64" w:rsidRDefault="005A24FE" w:rsidP="005A24FE">
      <w:pPr>
        <w:ind w:left="600"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>মিশনঃ আধুনিক প্রযুক্তি</w:t>
      </w:r>
      <w:r w:rsidRPr="00A43D64">
        <w:rPr>
          <w:rFonts w:ascii="Nikosh" w:hAnsi="Nikosh" w:cs="Nikosh"/>
          <w:color w:val="000000"/>
          <w:sz w:val="24"/>
          <w:szCs w:val="24"/>
        </w:rPr>
        <w:t xml:space="preserve">, </w:t>
      </w: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>সৃজনশীলতা ও জনগণের অংশগ্রহণে</w:t>
      </w:r>
      <w:r w:rsidRPr="00A43D64">
        <w:rPr>
          <w:rFonts w:ascii="Nikosh" w:hAnsi="Nikosh" w:cs="Nikosh"/>
          <w:color w:val="000000"/>
          <w:sz w:val="24"/>
          <w:szCs w:val="24"/>
        </w:rPr>
        <w:t xml:space="preserve">  </w:t>
      </w: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 xml:space="preserve">টেকসই বন ব্যবস্থাপনার মাধ্যমে বন সংরক্ষণ ও বনের আচ্ছাদন </w:t>
      </w:r>
      <w:r w:rsidRPr="00A43D64">
        <w:rPr>
          <w:rFonts w:ascii="Nikosh" w:hAnsi="Nikosh" w:cs="Nikosh"/>
          <w:color w:val="000000"/>
          <w:sz w:val="24"/>
          <w:szCs w:val="24"/>
        </w:rPr>
        <w:t xml:space="preserve">( Forest  Cover ) </w:t>
      </w: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>বৃদ্ধি</w:t>
      </w:r>
      <w:r w:rsidRPr="00A43D64">
        <w:rPr>
          <w:rFonts w:ascii="Nikosh" w:hAnsi="Nikosh" w:cs="Nikosh"/>
          <w:color w:val="000000"/>
          <w:sz w:val="24"/>
          <w:szCs w:val="24"/>
        </w:rPr>
        <w:t xml:space="preserve">, </w:t>
      </w: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 xml:space="preserve">প্রতিবেশগত সেবার </w:t>
      </w:r>
      <w:r w:rsidRPr="00A43D64">
        <w:rPr>
          <w:rFonts w:ascii="Nikosh" w:hAnsi="Nikosh" w:cs="Nikosh"/>
          <w:color w:val="000000"/>
          <w:sz w:val="24"/>
          <w:szCs w:val="24"/>
        </w:rPr>
        <w:t xml:space="preserve">( Ecosystem Services) </w:t>
      </w:r>
      <w:r w:rsidRPr="00A43D64">
        <w:rPr>
          <w:rFonts w:ascii="Nikosh" w:hAnsi="Nikosh" w:cs="Nikosh"/>
          <w:color w:val="000000"/>
          <w:sz w:val="24"/>
          <w:szCs w:val="24"/>
          <w:cs/>
          <w:lang w:bidi="bn-IN"/>
        </w:rPr>
        <w:t>মানোন্নয়ন ও দারিদ্র বিমোচন।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b/>
          <w:bCs/>
          <w:color w:val="000000"/>
          <w:sz w:val="24"/>
          <w:szCs w:val="24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২</w:t>
      </w:r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 xml:space="preserve">. 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সেবা প্রদান প্রতিশ্রম্নতি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b/>
          <w:bCs/>
          <w:color w:val="333333"/>
          <w:sz w:val="24"/>
          <w:szCs w:val="24"/>
          <w:lang w:bidi="bn-BD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২</w:t>
      </w:r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>.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১ নাগরিক সেবা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tbl>
      <w:tblPr>
        <w:tblW w:w="102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2"/>
        <w:gridCol w:w="1246"/>
        <w:gridCol w:w="990"/>
        <w:gridCol w:w="3420"/>
        <w:gridCol w:w="1350"/>
        <w:gridCol w:w="900"/>
        <w:gridCol w:w="1834"/>
      </w:tblGrid>
      <w:tr w:rsidR="005A24FE" w:rsidRPr="00A43D64" w:rsidTr="003B63B8">
        <w:trPr>
          <w:trHeight w:val="62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ক্রঃ নং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সেবার নাম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সেবা প্রদান পদ্ধতি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প্রয়োজনীয় সময়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দায়িত্ব প্রাপ্ত কর্মকর্তা</w:t>
            </w:r>
          </w:p>
        </w:tc>
      </w:tr>
      <w:tr w:rsidR="005A24FE" w:rsidRPr="00A43D64" w:rsidTr="003B63B8">
        <w:trPr>
          <w:trHeight w:val="107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 ও বনায়ন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সম্পর্কিত তথ্য প্রদান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টেলিফোন</w:t>
            </w:r>
            <w:r w:rsidRPr="00A43D64"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অনুরোধ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অনুমতি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কার্যদিবস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সহকারীবনসংরক্ষক</w:t>
            </w: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শ্রীমঙ্গল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হবিগঞ্জওসুনামগঞ্জ</w:t>
            </w:r>
          </w:p>
        </w:tc>
      </w:tr>
      <w:tr w:rsidR="005A24FE" w:rsidRPr="00A43D64" w:rsidTr="003B63B8">
        <w:trPr>
          <w:trHeight w:val="766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রক্ষার্থে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আহত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নিহত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ব্যক্তিকে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ক্ষতি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পূরণ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বনরক্ষার্থে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ক্ষতিগ্রস্থদের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ক্ষতিপুরণ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নীতিমালা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২০১১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বর্ণিত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উত্তরাধীকারীর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যাচাই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বাছাই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রক্ষার্থে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ক্ষতিগ্রস্থদের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ক্ষতিপূরণ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নীতিমালা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২০১১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প্রাপ্তি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সাপেক্ষ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মঞ্জুরী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 মাস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871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বনাঞ্চলে গবেষণার কাজে অনুমতি প্রদান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অনুরোধ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পক্ষের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অনুমতি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পক্ষের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অনুমতি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প্রাপ্তির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৩দিন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867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বিক্রিত বনজ দ্রব্যের চলাচল পাস প্রদান করা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অনুরোধ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রাজস্ব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রশিদ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ডিফরম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বৃক্ষ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কর্তনের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অনুমতি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 বন সংরক্ষক</w:t>
            </w:r>
            <w:r w:rsidRPr="00A43D64">
              <w:rPr>
                <w:rFonts w:ascii="Nikosh" w:hAnsi="Nikosh" w:cs="Nikosh"/>
                <w:sz w:val="24"/>
                <w:szCs w:val="24"/>
              </w:rPr>
              <w:t>,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সিলেট/ শ্রীমঙ্গল/ হবিগঞ্জ/ সুনামগঞ্জ</w:t>
            </w:r>
          </w:p>
        </w:tc>
      </w:tr>
      <w:tr w:rsidR="005A24FE" w:rsidRPr="00A43D64" w:rsidTr="003B63B8">
        <w:trPr>
          <w:trHeight w:val="1653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সামাজিক বনায়নে অংশ গ্রহনকারী</w:t>
            </w:r>
            <w:r w:rsidRPr="00A43D64">
              <w:rPr>
                <w:rFonts w:ascii="Nikosh" w:hAnsi="Nikosh" w:cs="Nikosh"/>
                <w:sz w:val="24"/>
                <w:szCs w:val="24"/>
              </w:rPr>
              <w:t>,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উপকারভোগী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ভূমি মালিক এবং চুক্তি অনুযায়ী অন্যান্যদের মাঝে লভ্যাংশ বিতরণ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সংশিস্নষ্ট রেঞ্জ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 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 কর্তৃক আবেদন ও চুক্তিপত্র যাচাই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উপকারভোগীর আবেদন সংশিস্নষ্ট রেঞ্জ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 কর্মকর্তার দপ্তর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38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সামাজিক বনায়ন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 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সংক্রামত্ম অভিযোগ নিষ্পপ্তি করা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 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 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 মারফত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সরজমিনে 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তদন্ত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ও প্রয়োজনীয় দলিলাদি যাচাই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প্রত্যাশীর আবেদন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465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জোত পারমিট প্রদান করা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প্রত্যাশীর নির্ধারিত ফরমে আবেদন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কার্যালয়</w:t>
            </w:r>
            <w:r w:rsidRPr="00A43D64">
              <w:rPr>
                <w:rFonts w:ascii="Nikosh" w:hAnsi="Nikosh" w:cs="Nikosh"/>
                <w:sz w:val="24"/>
                <w:szCs w:val="24"/>
              </w:rPr>
              <w:t>,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সকল রেঞ্জ 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 কর্মকর্তার কার্যালয়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 পর্যায় হতে প্রতিবেদন প্রাপ্তির পর ৩০ কার্যদিবস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</w:tbl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  <w:cs/>
          <w:lang w:bidi="bn-BD"/>
        </w:rPr>
      </w:pPr>
    </w:p>
    <w:tbl>
      <w:tblPr>
        <w:tblW w:w="101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52"/>
        <w:gridCol w:w="996"/>
        <w:gridCol w:w="3420"/>
        <w:gridCol w:w="1350"/>
        <w:gridCol w:w="900"/>
        <w:gridCol w:w="1800"/>
      </w:tblGrid>
      <w:tr w:rsidR="005A24FE" w:rsidRPr="00A43D64" w:rsidTr="003B63B8">
        <w:trPr>
          <w:trHeight w:val="148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lastRenderedPageBreak/>
              <w:t>ক্রঃ নং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সেবার নাম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 প্রদান পদ্ধতি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প্রয়োজনীয় সময়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দায়িত্ব প্রাপ্ত কর্মকর্তা</w:t>
            </w:r>
          </w:p>
        </w:tc>
      </w:tr>
      <w:tr w:rsidR="005A24FE" w:rsidRPr="00A43D64" w:rsidTr="003B63B8">
        <w:trPr>
          <w:trHeight w:val="148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বনজদ্রব্য বিক্রির দরপত্র অনুমোদন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দরপত্র আহবানের বিজ্ঞপ্তি 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বহুল প্রচারিত দৈনিক পত্রিকা</w:t>
            </w:r>
            <w:r w:rsidRPr="00A43D64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দরপত্রের তুলনামুলক বিবরণী 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 ফরমে</w:t>
            </w:r>
            <w:r w:rsidRPr="00A43D64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দরপত্র কমিটি এবং নিয়ন্ত্রণকারী কর্মকর্তার সপারিশ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বিভাগের এখতিয়ারাধীন দরপত্রের জন্য ৭ কার্যদিবস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43D64">
              <w:rPr>
                <w:rFonts w:ascii="Nikosh" w:hAnsi="Nikosh" w:cs="Nikosh"/>
                <w:sz w:val="24"/>
                <w:szCs w:val="24"/>
              </w:rPr>
              <w:t>)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এখতিয়ারাধীন দরপত্রের জন্য ২০ 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416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বনাঞ্চলের বিশ্রামাগার বরাদ্দ প্রদান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বিসত্মারিত বায়োডাটাসহ সাদা কাগজে আবেদন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 নির্ধারিত রাজস্ব পরিশোধ ও বিশ্রামাগার খালি থাকা সাপেক্ষে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48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সংরক্ষিতবনাঞ্চলেডকুমেন্টারীফিল্মতৈরীঅনুমতিপ্রদান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বনে ডকুমেন্টারী তৈরীর বিষয়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বস্তু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ফিল্ম তৈরীর কাজে সংশিস্নষ্ট লোকবলের নাম ঠিকানা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সরঞ্জামাদির তালিকা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বনে অবস্থানের মেয়াদ ও তারিখ সহ আবেদন করতে হবে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ক্ষেত্রে বনে প্রবেশ ও অবস্থান ফি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 জন সরঞ্জামাদির জন্য নিধারিত ফি</w:t>
            </w:r>
            <w:r w:rsidRPr="00A43D64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উর্ধতনকর্তৃপক্ষেরঅনুমোদনপ্রাপ্তিরপর৭কার্যদিবস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614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সংরক্ষিতবনাঞ্চলেইকোট্যুরিজমএরজন্যপর্যটকদেরঅনুমতিপ্রদান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সাদা কাগজে সংশিস্নষ্ট লোকবলের নাম ঠিকানা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সরঞ্জামাদির তালিকা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বনে অবস্থানের মেয়াদ ও তারিখ সহ আবেদন করতে হবে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ক্ষেত্রে বনে প্রবেশ ও অবস্থান ফি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 জন সরঞ্জামাদির জন্য নিধারিত ফি</w:t>
            </w:r>
            <w:r w:rsidRPr="00A43D64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উর্ধতনকর্তৃপক্ষেরঅনুমোদনপ্রাপ্তিরপর৭কার্যদিবস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353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সামাজিক বনায়ন সংক্রামত্ম যে কোন পরামর্শ প্রদান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 ও 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প্রত্যাশীর আবেদন সামাজিক বনায়ন বিধিমালা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২০০৪ মোতাবেক পরামর্শ প্রদান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 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 বন সংরক্ষক সিলেট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শ্রীমঙ্গল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হবিগঞ্জ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</w:tc>
      </w:tr>
      <w:tr w:rsidR="005A24FE" w:rsidRPr="00A43D64" w:rsidTr="003B63B8">
        <w:trPr>
          <w:trHeight w:val="1470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নুতন করাতকল লাইসেন্স প্রদান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 ফরমে আবেদন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কার্যালয়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 রেঞ্জ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 কর্মকর্তার কার্যালয়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সরকারনির্ধারিতফিপ্রদানসাপেক্ষে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 কমিটির সুপারিশ প্রদানের পর হতে ৩০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48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করাতকল লাইসেন্স নবায়ন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 ফরমে আবেদন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কার্যালয়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 রেঞ্জ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 কর্মকর্তার কার্যালয়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সরকারনির্ধারিতফিপ্রদানসাপেক্ষে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48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ফার্নিচার মার্ট লাইসেন্স প্রদান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 ফরমে আবেদন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কার্যালয়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 রেঞ্জ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 কর্মকর্তার কার্যালয়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 নির্ধারিত ফি প্রদান সাপেক্ষে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 কার্যদিবস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</w:tbl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২</w:t>
      </w:r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>.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৩ অভ্যমত্মরীণ সেবা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1080"/>
        <w:gridCol w:w="2070"/>
        <w:gridCol w:w="2520"/>
        <w:gridCol w:w="1800"/>
        <w:gridCol w:w="810"/>
        <w:gridCol w:w="1260"/>
      </w:tblGrid>
      <w:tr w:rsidR="005A24FE" w:rsidRPr="00A43D64" w:rsidTr="003B63B8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ক্রঃ নং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সেবার নাম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 প্রদান পদ্ধতি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প্রয়োজনীয় সময়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দায়িত্ব প্রাপ্ত কর্মকর্তা</w:t>
            </w:r>
          </w:p>
        </w:tc>
      </w:tr>
      <w:tr w:rsidR="005A24FE" w:rsidRPr="00A43D64" w:rsidTr="003B63B8">
        <w:trPr>
          <w:trHeight w:val="1272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A43D6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 ছুটি মঞ্জর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পত্রমারফত</w:t>
            </w: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সেবাপ্রত্যাশীরআবেদন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প্রাপ্তির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প্রাপ্যতাযাচাই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v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অনুমোদন</w:t>
            </w:r>
            <w:r w:rsidR="00497B1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গ্রহণ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ছুটির আবেদনের নির্ধারিত ফরম নেই সাদা কাগজে আবেদন করা যাবে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 দিন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345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 w:rsidRPr="00A43D6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 ছুটি মঞ্জুর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                  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প্রত্যাশীকে অবহিত করণ। সেবা প্রত্যাশির আবেদন প্রাপ্তির পর ছুটির প্রাপ্যতা যাচাই করে ছুটি মঞ্জুর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 কর্তৃপক্ষের অনুমোদন গ্রহণ ।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 আবেদনের নির্ধারিত ফরম আছে। সংশিস্নষ্ট দপ্তর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মুদ্রণালয় ও ওয়েব সাইট হতে ফরম সংগ্রহ করা যায়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 দিন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1440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A43D6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 বাংলাদেশ অর্জিত ছুটি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মারফত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                  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প্রত্যাশীকে অবহিত করণ। সেবা প্রত্যাশীর আবেদন প্রাপ্তির পর ছুটির প্রাপ্যতা যাচাই করে উপযুক্ত কর্তৃপক্ষের অনুমোদন গ্রহণ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 আবেদনের নির্ধারিত ফরম আছে। সংশিস্নষ্ট দপ্তর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মুদ্রণালয় ও ওয়েব সাইট হতে ফরম সংগ্রহ করা যায়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 সম্পূর্ণ আবেদন প্রাপ্তির পর থেকে ৭দিন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A43D6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জিপিএফ অগ্রীম মঞ্জুর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প্রাপ্তির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যাচাই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হিসাবরক্ষণ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নীরিক্ষা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নিকট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প্রেরণ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চুড়ামত্ম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উত্তোলনের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সম্মতি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আনয়ন।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অগ্রিম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চেক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ইস্যুকরণ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 সংগ্রহ করা যায়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 মূল্য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কর্তৃপক্ষের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পর ১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 দিন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rPr>
          <w:trHeight w:val="2472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A43D6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অবসর উত্তর ছুটি ও লাম্প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গ্রান্ট মঞ্জুর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প্রত্যাশীকে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অবহিতকরণ।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সম্পূর্ণ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প্রাপ্তির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অবসর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উত্তরছুটি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লাম্প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গ্রান্ট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মঞ্জুরীর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উর্ধতন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বরাবরে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প্রেরণ।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রক্ষণ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নীরিক্ষা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নিকট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প্রেরণ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 চুড়া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ন্ত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উত্তোলনের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বিলযাচাই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চেক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ইস্যুকরণ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 ফরম আছে। সংশিস্নষ্ট দপ্তর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মুদ্রণালয় ও ওয়েব সাইট হতে ফরম সংগ্রহ করা যায়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 সম্পূর্ণ আবেদন প্রাপ্তির পর ২</w:t>
            </w:r>
            <w:r w:rsidRPr="00A43D64">
              <w:rPr>
                <w:rFonts w:ascii="Nikosh" w:hAnsi="Nikosh" w:cs="Nikosh"/>
                <w:sz w:val="24"/>
                <w:szCs w:val="24"/>
              </w:rPr>
              <w:t>(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দুই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পেনশন মঞ্জুর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প্রত্যাশীকে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করণ।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প্রত্যাশীর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সম্পূর্ণ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প্রাপ্তির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পেনশন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মঞ্জুরীর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লক্ষে উর্ধতন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বরাবরে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প্রেরণ।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রক্ষণ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নীরিক্ষা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অধিদপ্তরের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নিকট</w:t>
            </w:r>
            <w:r w:rsidRPr="00A43D6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প্রেরণ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 ফরম আছে। সংশিস্নষ্ট দপ্তরে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মুদ্রণালয়ে ও ওয়েব সাইটে ফরম সংগ্রহ করা যায়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 সম্পূর্ণ আবেদন প্রাপ্তির পর ৩</w:t>
            </w:r>
            <w:r w:rsidRPr="00A43D64">
              <w:rPr>
                <w:rFonts w:ascii="Nikosh" w:hAnsi="Nikosh" w:cs="Nikosh"/>
                <w:sz w:val="24"/>
                <w:szCs w:val="24"/>
              </w:rPr>
              <w:t>(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তিন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</w:tbl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tbl>
      <w:tblPr>
        <w:tblW w:w="9818" w:type="dxa"/>
        <w:tblCellMar>
          <w:left w:w="0" w:type="dxa"/>
          <w:right w:w="0" w:type="dxa"/>
        </w:tblCellMar>
        <w:tblLook w:val="04A0"/>
      </w:tblPr>
      <w:tblGrid>
        <w:gridCol w:w="490"/>
        <w:gridCol w:w="1358"/>
        <w:gridCol w:w="2174"/>
        <w:gridCol w:w="1494"/>
        <w:gridCol w:w="1141"/>
        <w:gridCol w:w="1168"/>
        <w:gridCol w:w="1993"/>
      </w:tblGrid>
      <w:tr w:rsidR="005A24FE" w:rsidRPr="00A43D64" w:rsidTr="003B63B8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ক্রঃ নং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সেবার নাম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 প্রদান পদ্ধতি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প্রয়োজনীয় সময়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দায়িত্ব প্রাপ্ত কর্মকর্তা</w:t>
            </w:r>
          </w:p>
        </w:tc>
      </w:tr>
      <w:tr w:rsidR="005A24FE" w:rsidRPr="00A43D64" w:rsidTr="003B63B8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৭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লজিস্টিক সহায়তা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প্রত্যাশীর নিকট থেকে অনুরোধ পাওয়ার পর তা যাচাই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বাছাই করে প্রাধিকার অনুযায়ী উপযুক্ত কর্তৃপক্ষের অনুমোদনক্রমে সহায়তা প্রদান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গ্রহনের জন্য নির্ধারিত কোন আবেদন ফরম নেই সাদা কাগজে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/     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মেইলের মাধ্যমে অনুরোধ করা যায়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 দিন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  <w:tr w:rsidR="005A24FE" w:rsidRPr="00A43D64" w:rsidTr="003B63B8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 কল্যাণ অনুদান সংক্রামত্ম আবেদন অগ্রায়ন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প্রত্যাশীর নিকট থেকে অনুরোধ পাওয়ার পর তা যাচাই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বাছাই করে তা সরকারী 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 কল্যাণ বোর্ডে প্রেরণ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গ্রহনের জন্য নির্ধারিত ফরম সরকারি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 কল্যাণ বোর্ড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 সাইটে পাওয়া যায়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 নয়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মূল্য গ্রহণ করা হয় না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 দিন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</w:tc>
      </w:tr>
    </w:tbl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৩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hi-IN"/>
        </w:rPr>
        <w:t xml:space="preserve">। 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অভিযোগ ব্যবস্থাপনা পদ্ধতি</w:t>
      </w:r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>(</w:t>
      </w:r>
      <w:proofErr w:type="spellStart"/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>GRS</w:t>
      </w:r>
      <w:proofErr w:type="spellEnd"/>
      <w:r w:rsidRPr="00A43D64">
        <w:rPr>
          <w:rFonts w:ascii="Nikosh" w:hAnsi="Nikosh" w:cs="Nikosh"/>
          <w:b/>
          <w:bCs/>
          <w:color w:val="333333"/>
          <w:sz w:val="24"/>
          <w:szCs w:val="24"/>
        </w:rPr>
        <w:t>)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b/>
          <w:bCs/>
          <w:color w:val="333333"/>
          <w:sz w:val="24"/>
          <w:szCs w:val="24"/>
          <w:lang w:bidi="bn-BD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সেবা প্রাপ্তিতে অসন্তুষ্ট হলে দায়িত্বপ্রাপ্ত কর্মকর্তার সংগে যোগাযোগ করম্নন। তিনি সমাধান দিতে ব্যর্থ হলে নিমেণাক্ত পদ্ধতিতে যোগাযোগ করে আপনার সমস্যা অবহিত করম্নন।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tbl>
      <w:tblPr>
        <w:tblW w:w="101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3586"/>
        <w:gridCol w:w="4230"/>
        <w:gridCol w:w="1800"/>
      </w:tblGrid>
      <w:tr w:rsidR="005A24FE" w:rsidRPr="00A43D64" w:rsidTr="003B63B8">
        <w:trPr>
          <w:trHeight w:val="543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ক্রঃ নং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কখন যোগাযোগ করবে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যোগাযোগের ঠিকানা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নিষ্পত্তির সময়সীমা</w:t>
            </w:r>
          </w:p>
        </w:tc>
      </w:tr>
      <w:tr w:rsidR="005A24FE" w:rsidRPr="00A43D64" w:rsidTr="003B63B8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দায়িত্বপ্রাপ্ত কর্মকর্তা সমাধান দিতে ব্যর্থ হলে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43D64">
              <w:rPr>
                <w:rFonts w:ascii="Nikosh" w:hAnsi="Nikosh" w:cs="Nikosh"/>
                <w:sz w:val="24"/>
                <w:szCs w:val="24"/>
              </w:rPr>
              <w:t>GRS</w:t>
            </w:r>
            <w:proofErr w:type="spellEnd"/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 পয়েন্ট কর্মকর্তা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 ও পদবিঃ মোঃ শামসুল আলম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বন সংরক্ষক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ফোনঃ ০২</w:t>
            </w:r>
            <w:r w:rsidRPr="00A43D64">
              <w:rPr>
                <w:rFonts w:ascii="Nikosh" w:hAnsi="Nikosh" w:cs="Nikosh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৮১৮১৭৪২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  <w:r w:rsidRPr="00A43D64">
              <w:rPr>
                <w:rFonts w:ascii="Nikosh" w:hAnsi="Nikosh" w:cs="Nikosh"/>
                <w:sz w:val="24"/>
                <w:szCs w:val="24"/>
              </w:rPr>
              <w:t>:</w:t>
            </w:r>
            <w:proofErr w:type="spellStart"/>
            <w:r w:rsidR="00A13566" w:rsidRPr="00A43D64">
              <w:rPr>
                <w:sz w:val="24"/>
                <w:szCs w:val="24"/>
              </w:rPr>
              <w:fldChar w:fldCharType="begin"/>
            </w:r>
            <w:r w:rsidR="00A13566" w:rsidRPr="00A43D64">
              <w:rPr>
                <w:sz w:val="24"/>
                <w:szCs w:val="24"/>
              </w:rPr>
              <w:instrText>HYPERLINK "mailto:%20Shamsul.cf@gmail.com"</w:instrText>
            </w:r>
            <w:r w:rsidR="00A13566" w:rsidRPr="00A43D64">
              <w:rPr>
                <w:sz w:val="24"/>
                <w:szCs w:val="24"/>
              </w:rPr>
              <w:fldChar w:fldCharType="separate"/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Shamsul.cf@gmail.com</w:t>
            </w:r>
            <w:proofErr w:type="spellEnd"/>
            <w:r w:rsidR="00A13566" w:rsidRPr="00A43D64">
              <w:rPr>
                <w:sz w:val="24"/>
                <w:szCs w:val="24"/>
              </w:rPr>
              <w:fldChar w:fldCharType="end"/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ওয়েব পোর্টাল </w:t>
            </w:r>
            <w:r w:rsidRPr="00A43D64">
              <w:rPr>
                <w:rFonts w:ascii="Nikosh" w:hAnsi="Nikosh" w:cs="Nikosh"/>
                <w:sz w:val="24"/>
                <w:szCs w:val="24"/>
              </w:rPr>
              <w:t>: </w:t>
            </w:r>
            <w:proofErr w:type="spellStart"/>
            <w:r w:rsidR="00A13566" w:rsidRPr="00A43D64">
              <w:rPr>
                <w:sz w:val="24"/>
                <w:szCs w:val="24"/>
              </w:rPr>
              <w:fldChar w:fldCharType="begin"/>
            </w:r>
            <w:r w:rsidR="00A13566" w:rsidRPr="00A43D64">
              <w:rPr>
                <w:sz w:val="24"/>
                <w:szCs w:val="24"/>
              </w:rPr>
              <w:instrText>HYPERLINK "http://bforest.gov.bd/"</w:instrText>
            </w:r>
            <w:r w:rsidR="00A13566" w:rsidRPr="00A43D64">
              <w:rPr>
                <w:sz w:val="24"/>
                <w:szCs w:val="24"/>
              </w:rPr>
              <w:fldChar w:fldCharType="separate"/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http://bforest.gov.bd</w:t>
            </w:r>
            <w:proofErr w:type="spellEnd"/>
            <w:r w:rsidR="00A13566" w:rsidRPr="00A43D64">
              <w:rPr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5A24FE" w:rsidRPr="00A43D64" w:rsidTr="003B63B8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43D64">
              <w:rPr>
                <w:rFonts w:ascii="Nikosh" w:hAnsi="Nikosh" w:cs="Nikosh"/>
                <w:sz w:val="24"/>
                <w:szCs w:val="24"/>
              </w:rPr>
              <w:t>GRS</w:t>
            </w:r>
            <w:proofErr w:type="spellEnd"/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 পয়েন্ট কর্মকর্তার নির্দিষ্ট সময়ে সমাধান</w:t>
            </w:r>
          </w:p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দিতে ব্যর্থ হলে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কেন্দ্রীয় অভিযোগ ব্যবস্থাপনা পদ্ধতি</w:t>
            </w:r>
            <w:r w:rsidRPr="00A43D64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A43D64">
              <w:rPr>
                <w:rFonts w:ascii="Nikosh" w:hAnsi="Nikosh" w:cs="Nikosh"/>
                <w:sz w:val="24"/>
                <w:szCs w:val="24"/>
              </w:rPr>
              <w:t>GRS</w:t>
            </w:r>
            <w:proofErr w:type="spellEnd"/>
            <w:r w:rsidRPr="00A43D6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মন্ত্রনালয়</w:t>
            </w:r>
            <w:r w:rsidRPr="00A43D64">
              <w:rPr>
                <w:rFonts w:ascii="Nikosh" w:hAnsi="Nikosh" w:cs="Nikosh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বিভাগের ক্ষেত্রে মন্ত্রি পরিষদ বিভাগের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  </w:t>
            </w:r>
            <w:proofErr w:type="spellStart"/>
            <w:r w:rsidRPr="00A43D64">
              <w:rPr>
                <w:rFonts w:ascii="Nikosh" w:hAnsi="Nikosh" w:cs="Nikosh"/>
                <w:sz w:val="24"/>
                <w:szCs w:val="24"/>
              </w:rPr>
              <w:t>GRS</w:t>
            </w:r>
            <w:proofErr w:type="spellEnd"/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পোর্টালের ঠিকানা জেলা প্রশাসনের ক্ষেত্রে বিভাগীয় কমিশনারের</w:t>
            </w:r>
            <w:r w:rsidRPr="00A43D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3D64">
              <w:rPr>
                <w:rFonts w:ascii="Nikosh" w:hAnsi="Nikosh" w:cs="Nikosh"/>
                <w:sz w:val="24"/>
                <w:szCs w:val="24"/>
              </w:rPr>
              <w:t>GRS</w:t>
            </w:r>
            <w:proofErr w:type="spellEnd"/>
            <w:r w:rsidRPr="00A43D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পোর্টালের ঠিকানা।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</w:tbl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  <w:cs/>
          <w:lang w:bidi="bn-BD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bn-IN"/>
        </w:rPr>
        <w:t>৪</w:t>
      </w:r>
      <w:r w:rsidRPr="00A43D64">
        <w:rPr>
          <w:rFonts w:ascii="Nikosh" w:hAnsi="Nikosh" w:cs="Nikosh"/>
          <w:b/>
          <w:bCs/>
          <w:color w:val="333333"/>
          <w:sz w:val="24"/>
          <w:szCs w:val="24"/>
          <w:cs/>
          <w:lang w:bidi="hi-IN"/>
        </w:rPr>
        <w:t xml:space="preserve">। </w:t>
      </w:r>
      <w:proofErr w:type="spellStart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>আপনার</w:t>
      </w:r>
      <w:proofErr w:type="spellEnd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 xml:space="preserve"> </w:t>
      </w:r>
      <w:proofErr w:type="spellStart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>কাছে</w:t>
      </w:r>
      <w:proofErr w:type="spellEnd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 xml:space="preserve"> </w:t>
      </w:r>
      <w:proofErr w:type="spellStart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>আমাদের</w:t>
      </w:r>
      <w:proofErr w:type="spellEnd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 xml:space="preserve"> </w:t>
      </w:r>
      <w:proofErr w:type="spellStart"/>
      <w:r w:rsidRPr="00A43D64">
        <w:rPr>
          <w:rFonts w:ascii="Nikosh" w:hAnsi="Nikosh" w:cs="Nikosh"/>
          <w:b/>
          <w:bCs/>
          <w:color w:val="333333"/>
          <w:sz w:val="24"/>
          <w:szCs w:val="24"/>
          <w:lang w:bidi="bn-IN"/>
        </w:rPr>
        <w:t>প্রত্যাশা</w:t>
      </w:r>
      <w:proofErr w:type="spellEnd"/>
    </w:p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tbl>
      <w:tblPr>
        <w:tblW w:w="7825" w:type="dxa"/>
        <w:tblCellMar>
          <w:left w:w="0" w:type="dxa"/>
          <w:right w:w="0" w:type="dxa"/>
        </w:tblCellMar>
        <w:tblLook w:val="04A0"/>
      </w:tblPr>
      <w:tblGrid>
        <w:gridCol w:w="761"/>
        <w:gridCol w:w="7064"/>
      </w:tblGrid>
      <w:tr w:rsidR="005A24FE" w:rsidRPr="00A43D64" w:rsidTr="003B63B8"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ক্রঃ নং</w:t>
            </w:r>
          </w:p>
        </w:tc>
        <w:tc>
          <w:tcPr>
            <w:tcW w:w="7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প্রতিশ্রুত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</w:rPr>
              <w:t>/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কাঙ্খিত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সেবা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প্রাপ্তির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লক্ষ্যে</w:t>
            </w:r>
            <w:r w:rsidRPr="00A43D64">
              <w:rPr>
                <w:rFonts w:ascii="Nikosh" w:hAnsi="Nikosh" w:cs="Nikosh"/>
                <w:sz w:val="24"/>
                <w:szCs w:val="24"/>
              </w:rPr>
              <w:t> 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5A24FE" w:rsidRPr="00A43D64" w:rsidTr="003B63B8"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১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নির্ধারিত ফরমে সম্পূর্ণভাবে পূরণকৃত আবেদন জমা প্রদান</w:t>
            </w:r>
          </w:p>
        </w:tc>
      </w:tr>
      <w:tr w:rsidR="005A24FE" w:rsidRPr="00A43D64" w:rsidTr="003B63B8"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২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সঠিক মাধ্যমে প্রয়োজনীয় ফিস পরিশোধ করা</w:t>
            </w:r>
          </w:p>
        </w:tc>
      </w:tr>
      <w:tr w:rsidR="005A24FE" w:rsidRPr="00A43D64" w:rsidTr="003B63B8"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৩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4FE" w:rsidRPr="00A43D64" w:rsidRDefault="005A24FE" w:rsidP="003B63B8">
            <w:pPr>
              <w:ind w:right="68"/>
              <w:textAlignment w:val="baseline"/>
              <w:rPr>
                <w:rFonts w:ascii="Nikosh" w:hAnsi="Nikosh" w:cs="Nikosh"/>
                <w:sz w:val="24"/>
                <w:szCs w:val="24"/>
              </w:rPr>
            </w:pP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সাক্ষাতের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জন্য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নির্ধারিত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সময়ের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পূর্বেই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উপস্থিত</w:t>
            </w:r>
            <w:r w:rsidRPr="00A43D64">
              <w:rPr>
                <w:rFonts w:ascii="Nikosh" w:hAnsi="Nikosh" w:cs="Nikosh" w:hint="cs"/>
                <w:b/>
                <w:bCs/>
                <w:color w:val="333333"/>
                <w:sz w:val="24"/>
                <w:szCs w:val="24"/>
                <w:cs/>
                <w:lang w:bidi="bn-BD"/>
              </w:rPr>
              <w:t xml:space="preserve"> </w:t>
            </w:r>
            <w:r w:rsidRPr="00A43D64">
              <w:rPr>
                <w:rFonts w:ascii="Nikosh" w:hAnsi="Nikosh" w:cs="Nikosh"/>
                <w:b/>
                <w:bCs/>
                <w:color w:val="333333"/>
                <w:sz w:val="24"/>
                <w:szCs w:val="24"/>
                <w:cs/>
                <w:lang w:bidi="bn-IN"/>
              </w:rPr>
              <w:t>থাকা</w:t>
            </w:r>
          </w:p>
        </w:tc>
      </w:tr>
    </w:tbl>
    <w:p w:rsidR="005A24FE" w:rsidRPr="00A43D64" w:rsidRDefault="005A24FE" w:rsidP="005A24FE">
      <w:pPr>
        <w:ind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  <w:r w:rsidRPr="00A43D64">
        <w:rPr>
          <w:rFonts w:ascii="Nikosh" w:hAnsi="Nikosh" w:cs="Nikosh"/>
          <w:color w:val="000000"/>
          <w:sz w:val="24"/>
          <w:szCs w:val="24"/>
        </w:rPr>
        <w:t> </w:t>
      </w:r>
    </w:p>
    <w:p w:rsidR="005A24FE" w:rsidRPr="00A43D64" w:rsidRDefault="005A24FE" w:rsidP="005A24FE">
      <w:pPr>
        <w:ind w:left="3600"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p w:rsidR="005A24FE" w:rsidRPr="00A43D64" w:rsidRDefault="005A24FE" w:rsidP="005A24FE">
      <w:pPr>
        <w:ind w:left="3600"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p w:rsidR="005A24FE" w:rsidRPr="00A43D64" w:rsidRDefault="005A24FE" w:rsidP="005A24FE">
      <w:pPr>
        <w:ind w:left="3600"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tbl>
      <w:tblPr>
        <w:tblpPr w:leftFromText="180" w:rightFromText="180" w:vertAnchor="text" w:horzAnchor="margin" w:tblpXSpec="right" w:tblpY="16"/>
        <w:tblW w:w="3060" w:type="dxa"/>
        <w:tblCellMar>
          <w:left w:w="0" w:type="dxa"/>
          <w:right w:w="0" w:type="dxa"/>
        </w:tblCellMar>
        <w:tblLook w:val="04A0"/>
      </w:tblPr>
      <w:tblGrid>
        <w:gridCol w:w="3215"/>
      </w:tblGrid>
      <w:tr w:rsidR="005A24FE" w:rsidRPr="00A43D64" w:rsidTr="003B63B8">
        <w:trPr>
          <w:trHeight w:val="1079"/>
        </w:trPr>
        <w:tc>
          <w:tcPr>
            <w:tcW w:w="3060" w:type="dxa"/>
          </w:tcPr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(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আর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এস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এম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 xml:space="preserve">. 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মুনিরুল ইসলাম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)</w:t>
            </w:r>
          </w:p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বিভাগীয় বন কর্মকর্তা</w:t>
            </w:r>
          </w:p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সিলেট বন বিভাগ।</w:t>
            </w:r>
          </w:p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ফোন নং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০৮২১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৭১৬৩৫৮</w:t>
            </w:r>
          </w:p>
          <w:p w:rsidR="005A24FE" w:rsidRPr="00A43D64" w:rsidRDefault="005A24FE" w:rsidP="003B63B8">
            <w:pPr>
              <w:ind w:right="68"/>
              <w:jc w:val="right"/>
              <w:textAlignment w:val="baseline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A43D6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মেইলঃ</w:t>
            </w:r>
            <w:proofErr w:type="spellStart"/>
            <w:r w:rsidRPr="00A43D64">
              <w:rPr>
                <w:rFonts w:ascii="Nikosh" w:hAnsi="Nikosh" w:cs="Nikosh"/>
                <w:color w:val="000000"/>
                <w:sz w:val="24"/>
                <w:szCs w:val="24"/>
              </w:rPr>
              <w:t>dfosylhet@yahoo.com</w:t>
            </w:r>
            <w:proofErr w:type="spellEnd"/>
          </w:p>
          <w:p w:rsidR="005A24FE" w:rsidRPr="00A43D64" w:rsidRDefault="005A24FE" w:rsidP="003B63B8">
            <w:pPr>
              <w:ind w:right="68"/>
              <w:jc w:val="center"/>
              <w:textAlignment w:val="baseline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</w:tc>
      </w:tr>
    </w:tbl>
    <w:p w:rsidR="005A24FE" w:rsidRPr="00A43D64" w:rsidRDefault="005A24FE" w:rsidP="005A24FE">
      <w:pPr>
        <w:ind w:left="3600"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p w:rsidR="005A24FE" w:rsidRPr="00A43D64" w:rsidRDefault="005A24FE" w:rsidP="005A24FE">
      <w:pPr>
        <w:ind w:left="3600"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p w:rsidR="005A24FE" w:rsidRPr="00A43D64" w:rsidRDefault="005A24FE" w:rsidP="005A24FE">
      <w:pPr>
        <w:ind w:left="3600" w:right="68"/>
        <w:textAlignment w:val="baseline"/>
        <w:rPr>
          <w:rFonts w:ascii="Nikosh" w:hAnsi="Nikosh" w:cs="Nikosh"/>
          <w:color w:val="000000"/>
          <w:sz w:val="24"/>
          <w:szCs w:val="24"/>
          <w:lang w:bidi="bn-BD"/>
        </w:rPr>
      </w:pPr>
    </w:p>
    <w:p w:rsidR="005A24FE" w:rsidRPr="00A43D64" w:rsidRDefault="005A24FE" w:rsidP="005A24FE">
      <w:pPr>
        <w:rPr>
          <w:rFonts w:ascii="Nikosh" w:hAnsi="Nikosh" w:cs="Nikosh"/>
          <w:sz w:val="24"/>
          <w:szCs w:val="24"/>
          <w:lang w:bidi="bn-BD"/>
        </w:rPr>
      </w:pPr>
    </w:p>
    <w:p w:rsidR="00E35EA2" w:rsidRPr="00A43D64" w:rsidRDefault="00E35EA2">
      <w:pPr>
        <w:rPr>
          <w:rFonts w:ascii="Nikosh" w:hAnsi="Nikosh" w:cs="Nikosh"/>
          <w:sz w:val="24"/>
          <w:szCs w:val="24"/>
        </w:rPr>
      </w:pPr>
    </w:p>
    <w:sectPr w:rsidR="00E35EA2" w:rsidRPr="00A43D64" w:rsidSect="00DA5AB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448FC"/>
    <w:rsid w:val="00497B14"/>
    <w:rsid w:val="005A24FE"/>
    <w:rsid w:val="008448FC"/>
    <w:rsid w:val="00A13566"/>
    <w:rsid w:val="00A43D64"/>
    <w:rsid w:val="00E3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FE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5</cp:revision>
  <dcterms:created xsi:type="dcterms:W3CDTF">2018-07-17T07:12:00Z</dcterms:created>
  <dcterms:modified xsi:type="dcterms:W3CDTF">2018-07-17T07:19:00Z</dcterms:modified>
</cp:coreProperties>
</file>